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  <w:bookmarkStart w:id="0" w:name="_GoBack"/>
      <w:bookmarkEnd w:id="0"/>
    </w:p>
    <w:p>
      <w:pPr>
        <w:pStyle w:val="4"/>
        <w:rPr>
          <w:sz w:val="20"/>
        </w:rPr>
      </w:pPr>
    </w:p>
    <w:p>
      <w:pPr>
        <w:pStyle w:val="4"/>
        <w:jc w:val="both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  <w:r>
        <w:rPr>
          <w:rFonts w:hint="eastAsia" w:eastAsia="宋体"/>
          <w:b/>
          <w:color w:val="2D5294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160655</wp:posOffset>
            </wp:positionV>
            <wp:extent cx="4912360" cy="2432050"/>
            <wp:effectExtent l="0" t="0" r="0" b="0"/>
            <wp:wrapNone/>
            <wp:docPr id="1" name="图片 1" descr="RU246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U2460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0"/>
        <w:ind w:left="440" w:leftChars="200" w:right="113"/>
        <w:jc w:val="right"/>
        <w:rPr>
          <w:rFonts w:eastAsia="Calibri Light" w:asciiTheme="minorHAnsi" w:hAnsiTheme="minorHAnsi" w:cstheme="minorHAnsi"/>
          <w:color w:val="4F81BD" w:themeColor="accent1"/>
          <w:sz w:val="72"/>
          <w:lang w:bidi="en-US"/>
          <w14:textFill>
            <w14:solidFill>
              <w14:schemeClr w14:val="accent1"/>
            </w14:solidFill>
          </w14:textFill>
        </w:rPr>
      </w:pP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RU24</w:t>
      </w:r>
      <w:r>
        <w:rPr>
          <w:rFonts w:hint="eastAsia" w:asciiTheme="minorHAnsi" w:hAnsiTheme="minorHAnsi" w:eastAsiaTheme="minorEastAsia" w:cstheme="minorHAnsi"/>
          <w:color w:val="C00000"/>
          <w:sz w:val="72"/>
          <w:lang w:eastAsia="zh-CN" w:bidi="en-US"/>
        </w:rPr>
        <w:t>6</w:t>
      </w: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0</w:t>
      </w:r>
    </w:p>
    <w:p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rFonts w:eastAsia="Calibri Light" w:asciiTheme="minorHAnsi" w:hAnsiTheme="minorHAnsi" w:cstheme="minorHAnsi"/>
          <w:sz w:val="44"/>
          <w:lang w:bidi="en-US"/>
        </w:rPr>
        <w:t>HIGH POWER RRU</w:t>
      </w:r>
    </w:p>
    <w:p>
      <w:pPr>
        <w:spacing w:before="1"/>
        <w:ind w:left="100"/>
        <w:jc w:val="both"/>
        <w:rPr>
          <w:rFonts w:hint="eastAsia" w:eastAsia="宋体"/>
          <w:b/>
          <w:color w:val="2D5294"/>
          <w:sz w:val="28"/>
          <w:lang w:eastAsia="zh-CN"/>
        </w:rPr>
      </w:pPr>
    </w:p>
    <w:p>
      <w:pPr>
        <w:spacing w:before="1"/>
        <w:ind w:left="100"/>
        <w:jc w:val="both"/>
        <w:rPr>
          <w:b/>
          <w:color w:val="2D5294"/>
          <w:sz w:val="28"/>
        </w:rPr>
      </w:pPr>
    </w:p>
    <w:p>
      <w:pPr>
        <w:spacing w:before="1"/>
        <w:ind w:left="100"/>
        <w:jc w:val="both"/>
        <w:rPr>
          <w:b/>
          <w:color w:val="2D5294"/>
          <w:sz w:val="28"/>
        </w:rPr>
      </w:pPr>
    </w:p>
    <w:p>
      <w:pPr>
        <w:spacing w:before="1"/>
        <w:ind w:left="100"/>
        <w:jc w:val="both"/>
        <w:rPr>
          <w:b/>
          <w:color w:val="2D5294"/>
          <w:sz w:val="28"/>
        </w:rPr>
      </w:pPr>
    </w:p>
    <w:p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2T2R Digital Radios</w:t>
      </w:r>
    </w:p>
    <w:p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hint="eastAsia" w:asciiTheme="minorHAnsi" w:hAnsiTheme="minorHAnsi" w:eastAsiaTheme="minorEastAsia" w:cstheme="minorHAnsi"/>
          <w:color w:val="808080"/>
          <w:sz w:val="48"/>
          <w:lang w:eastAsia="zh-CN" w:bidi="en-US"/>
        </w:rPr>
        <w:t>4</w:t>
      </w: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0W (4</w:t>
      </w:r>
      <w:r>
        <w:rPr>
          <w:rFonts w:hint="eastAsia" w:asciiTheme="minorHAnsi" w:hAnsiTheme="minorHAnsi" w:eastAsiaTheme="minorEastAsia" w:cstheme="minorHAnsi"/>
          <w:color w:val="808080"/>
          <w:sz w:val="48"/>
          <w:lang w:eastAsia="zh-CN" w:bidi="en-US"/>
        </w:rPr>
        <w:t>6</w:t>
      </w: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dBm) Output Power</w:t>
      </w:r>
    </w:p>
    <w:p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Passive Cooling</w:t>
      </w:r>
    </w:p>
    <w:p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IP65 Outdoor Rated</w:t>
      </w:r>
    </w:p>
    <w:p>
      <w:pPr>
        <w:spacing w:before="1"/>
        <w:ind w:left="100"/>
        <w:jc w:val="both"/>
        <w:rPr>
          <w:b/>
          <w:color w:val="2D5294"/>
          <w:sz w:val="28"/>
        </w:rPr>
      </w:pPr>
    </w:p>
    <w:p>
      <w:pPr>
        <w:pStyle w:val="4"/>
        <w:spacing w:before="212" w:line="259" w:lineRule="auto"/>
        <w:ind w:left="142" w:right="227"/>
        <w:jc w:val="both"/>
        <w:rPr>
          <w:lang w:eastAsia="zh-CN"/>
        </w:rPr>
      </w:pPr>
    </w:p>
    <w:p>
      <w:pPr>
        <w:pStyle w:val="4"/>
        <w:spacing w:before="212" w:line="259" w:lineRule="auto"/>
        <w:ind w:left="142" w:right="227"/>
        <w:jc w:val="both"/>
        <w:rPr>
          <w:rFonts w:eastAsiaTheme="minorEastAsia"/>
          <w:lang w:eastAsia="zh-CN"/>
        </w:rPr>
      </w:pPr>
    </w:p>
    <w:p>
      <w:pPr>
        <w:pStyle w:val="4"/>
        <w:spacing w:before="212" w:line="259" w:lineRule="auto"/>
        <w:ind w:left="142" w:right="227"/>
        <w:jc w:val="both"/>
        <w:rPr>
          <w:rFonts w:eastAsiaTheme="minorEastAsia"/>
          <w:lang w:eastAsia="zh-CN"/>
        </w:rPr>
      </w:pPr>
    </w:p>
    <w:p>
      <w:pPr>
        <w:jc w:val="both"/>
        <w:rPr>
          <w:rFonts w:asciiTheme="minorHAnsi" w:hAnsiTheme="minorHAnsi" w:eastAsiaTheme="minorEastAsia" w:cstheme="minorHAnsi"/>
          <w:szCs w:val="18"/>
          <w:lang w:eastAsia="zh-CN"/>
        </w:rPr>
      </w:pPr>
      <w:r>
        <w:rPr>
          <w:rFonts w:asciiTheme="minorHAnsi" w:hAnsiTheme="minorHAnsi" w:cstheme="minorHAnsi"/>
          <w:szCs w:val="18"/>
        </w:rPr>
        <w:t xml:space="preserve">The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RU2460</w:t>
      </w:r>
      <w:r>
        <w:rPr>
          <w:rFonts w:asciiTheme="minorHAnsi" w:hAnsiTheme="minorHAnsi" w:cstheme="minorHAnsi"/>
          <w:szCs w:val="18"/>
        </w:rPr>
        <w:t xml:space="preserve"> from </w:t>
      </w:r>
      <w:r>
        <w:rPr>
          <w:rFonts w:hint="eastAsia" w:asciiTheme="minorHAnsi" w:hAnsiTheme="minorHAnsi" w:cstheme="minorHAnsi"/>
          <w:szCs w:val="18"/>
          <w:lang w:val="en-US" w:eastAsia="zh-CN"/>
        </w:rPr>
        <w:t>BTI Wireless</w:t>
      </w:r>
      <w:r>
        <w:rPr>
          <w:rFonts w:asciiTheme="minorHAnsi" w:hAnsiTheme="minorHAnsi" w:cstheme="minorHAnsi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is an advanced outdoor LTE product that operates in </w:t>
      </w:r>
      <w:r>
        <w:rPr>
          <w:rFonts w:hint="eastAsia" w:eastAsia="宋体" w:asciiTheme="minorHAnsi" w:hAnsiTheme="minorHAnsi" w:cstheme="minorHAnsi"/>
          <w:szCs w:val="18"/>
          <w:lang w:eastAsia="zh-CN"/>
        </w:rPr>
        <w:t>F</w:t>
      </w:r>
      <w:r>
        <w:rPr>
          <w:rFonts w:asciiTheme="minorHAnsi" w:hAnsiTheme="minorHAnsi" w:cstheme="minorHAnsi"/>
          <w:szCs w:val="18"/>
        </w:rPr>
        <w:t xml:space="preserve">DD mode. This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RRU with sCELL-T4000</w:t>
      </w:r>
      <w:r>
        <w:rPr>
          <w:rFonts w:asciiTheme="minorHAnsi" w:hAnsiTheme="minorHAnsi" w:cstheme="minorHAnsi"/>
          <w:szCs w:val="18"/>
        </w:rPr>
        <w:t xml:space="preserve"> provide users with high-speed broadband wireless access to the Internet using 2x</w:t>
      </w:r>
      <w:r>
        <w:rPr>
          <w:rFonts w:hint="eastAsia" w:eastAsia="宋体" w:asciiTheme="minorHAnsi" w:hAnsiTheme="minorHAnsi" w:cstheme="minorHAnsi"/>
          <w:szCs w:val="18"/>
          <w:lang w:eastAsia="zh-CN"/>
        </w:rPr>
        <w:t>4</w:t>
      </w:r>
      <w:r>
        <w:rPr>
          <w:rFonts w:asciiTheme="minorHAnsi" w:hAnsiTheme="minorHAnsi" w:cstheme="minorHAnsi"/>
          <w:szCs w:val="18"/>
        </w:rPr>
        <w:t xml:space="preserve">0W output power (2x2 MIMO with </w:t>
      </w:r>
      <w:r>
        <w:rPr>
          <w:rFonts w:hint="eastAsia" w:eastAsia="宋体" w:asciiTheme="minorHAnsi" w:hAnsiTheme="minorHAnsi" w:cstheme="minorHAnsi"/>
          <w:szCs w:val="18"/>
          <w:lang w:eastAsia="zh-CN"/>
        </w:rPr>
        <w:t>4</w:t>
      </w:r>
      <w:r>
        <w:rPr>
          <w:rFonts w:asciiTheme="minorHAnsi" w:hAnsiTheme="minorHAnsi" w:cstheme="minorHAnsi"/>
          <w:szCs w:val="18"/>
        </w:rPr>
        <w:t xml:space="preserve">0W output each channel). This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RRU</w:t>
      </w:r>
      <w:r>
        <w:rPr>
          <w:rFonts w:asciiTheme="minorHAnsi" w:hAnsiTheme="minorHAnsi" w:cstheme="minorHAnsi"/>
          <w:szCs w:val="18"/>
        </w:rPr>
        <w:t xml:space="preserve"> can operate in 5, 10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HAnsi"/>
          <w:szCs w:val="18"/>
          <w:lang w:val="en-US" w:eastAsia="zh-CN"/>
        </w:rPr>
        <w:t>,15</w:t>
      </w:r>
      <w:r>
        <w:rPr>
          <w:rFonts w:asciiTheme="minorHAnsi" w:hAnsiTheme="minorHAnsi" w:cstheme="minorHAnsi"/>
          <w:szCs w:val="18"/>
        </w:rPr>
        <w:t>or 20 MHz bandwidth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.</w:t>
      </w:r>
    </w:p>
    <w:p>
      <w:pPr>
        <w:rPr>
          <w:b/>
          <w:color w:val="2D5294"/>
          <w:sz w:val="28"/>
        </w:rPr>
      </w:pPr>
      <w:r>
        <w:rPr>
          <w:b/>
          <w:color w:val="2D5294"/>
          <w:sz w:val="28"/>
        </w:rPr>
        <w:br w:type="page"/>
      </w:r>
    </w:p>
    <w:tbl>
      <w:tblPr>
        <w:tblStyle w:val="17"/>
        <w:tblW w:w="1082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28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828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upports Band 2T2R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Up to </w:t>
            </w: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sz w:val="22"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0W (4</w:t>
            </w: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sz w:val="22"/>
                <w:szCs w:val="22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dBm) Output Power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Supports Cascading 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Supports </w:t>
            </w: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sz w:val="22"/>
                <w:szCs w:val="22"/>
                <w:lang w:eastAsia="zh-CN"/>
              </w:rPr>
              <w:t>F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DD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External Alarm</w:t>
            </w:r>
          </w:p>
        </w:tc>
      </w:tr>
    </w:tbl>
    <w:p>
      <w:pPr>
        <w:rPr>
          <w:b/>
          <w:color w:val="2D5294"/>
          <w:sz w:val="24"/>
          <w:szCs w:val="21"/>
        </w:rPr>
      </w:pPr>
    </w:p>
    <w:tbl>
      <w:tblPr>
        <w:tblStyle w:val="17"/>
        <w:tblW w:w="1078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8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TECHNICAL SPECIFICATIONS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shd w:val="clear" w:color="auto" w:fill="C00000"/>
            <w:vAlign w:val="center"/>
          </w:tcPr>
          <w:p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SYSTEM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≤ </w:t>
            </w: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0 MHz (Contiguous)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Digital 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5/10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/15</w:t>
            </w:r>
            <w:r>
              <w:rPr>
                <w:sz w:val="22"/>
                <w:szCs w:val="22"/>
                <w:lang w:eastAsia="zh-CN"/>
              </w:rPr>
              <w:t>/20 MHz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Redundancy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Cascading</w:t>
            </w:r>
          </w:p>
        </w:tc>
      </w:tr>
    </w:tbl>
    <w:p>
      <w:pPr>
        <w:ind w:right="5840"/>
        <w:rPr>
          <w:bCs/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8"/>
        <w:gridCol w:w="2410"/>
        <w:gridCol w:w="2268"/>
        <w:gridCol w:w="170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3" w:type="dxa"/>
            <w:gridSpan w:val="5"/>
            <w:shd w:val="clear" w:color="auto" w:fill="C00000"/>
            <w:vAlign w:val="center"/>
          </w:tcPr>
          <w:p>
            <w:pPr>
              <w:ind w:left="6"/>
              <w:rPr>
                <w:rFonts w:asciiTheme="minorHAnsi" w:hAnsiTheme="minorHAnsi" w:cstheme="minorHAnsi"/>
                <w:b/>
                <w:color w:val="376092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SUPPORTED BANDS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Band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3GPP Band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Downlink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Uplink Frequency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Max Bandwidth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MHz 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F</w:t>
            </w:r>
            <w:r>
              <w:rPr>
                <w:rFonts w:asciiTheme="minorHAnsi" w:hAnsiTheme="minorHAnsi" w:cstheme="minorHAnsi"/>
              </w:rPr>
              <w:t xml:space="preserve">DD 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2110MHz-2170MHz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1920MHz-1980MHz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top"/>
          </w:tcPr>
          <w:p>
            <w:pPr>
              <w:pStyle w:val="13"/>
              <w:spacing w:before="0"/>
              <w:ind w:left="0" w:leftChars="0"/>
              <w:rPr>
                <w:rFonts w:hint="eastAsia" w:eastAsia="Calibri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1800</w:t>
            </w:r>
            <w:r>
              <w:rPr>
                <w:rFonts w:asciiTheme="minorHAnsi" w:hAnsiTheme="minorHAnsi" w:cstheme="minorHAnsi"/>
              </w:rPr>
              <w:t xml:space="preserve"> MHz 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F</w:t>
            </w:r>
            <w:r>
              <w:rPr>
                <w:rFonts w:asciiTheme="minorHAnsi" w:hAnsiTheme="minorHAnsi" w:cstheme="minorHAnsi"/>
              </w:rPr>
              <w:t xml:space="preserve">DD </w:t>
            </w:r>
          </w:p>
        </w:tc>
        <w:tc>
          <w:tcPr>
            <w:tcW w:w="2268" w:type="dxa"/>
            <w:shd w:val="clear" w:color="auto" w:fill="FFFFFF" w:themeFill="background1"/>
            <w:vAlign w:val="top"/>
          </w:tcPr>
          <w:p>
            <w:pPr>
              <w:pStyle w:val="13"/>
              <w:spacing w:before="0"/>
              <w:ind w:left="0" w:leftChars="0"/>
              <w:rPr>
                <w:rFonts w:hint="eastAsia" w:asciiTheme="minorHAnsi" w:hAnsiTheme="minorHAnsi" w:eastAsiaTheme="minorEastAsia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top"/>
          </w:tcPr>
          <w:p>
            <w:pPr>
              <w:pStyle w:val="13"/>
              <w:spacing w:before="0"/>
              <w:ind w:left="0" w:leftChars="0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</w:rPr>
              <w:t>180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5</w:t>
            </w:r>
            <w:r>
              <w:rPr>
                <w:rFonts w:asciiTheme="minorHAnsi" w:hAnsiTheme="minorHAnsi" w:cstheme="minorHAnsi"/>
              </w:rPr>
              <w:t>MHz-1880MHz</w:t>
            </w:r>
          </w:p>
        </w:tc>
        <w:tc>
          <w:tcPr>
            <w:tcW w:w="2268" w:type="dxa"/>
            <w:shd w:val="clear" w:color="auto" w:fill="FFFFFF" w:themeFill="background1"/>
            <w:vAlign w:val="top"/>
          </w:tcPr>
          <w:p>
            <w:pPr>
              <w:pStyle w:val="13"/>
              <w:spacing w:before="0"/>
              <w:ind w:left="0" w:leftChars="0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</w:rPr>
              <w:t>17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10</w:t>
            </w:r>
            <w:r>
              <w:rPr>
                <w:rFonts w:asciiTheme="minorHAnsi" w:hAnsiTheme="minorHAnsi" w:cstheme="minorHAnsi"/>
              </w:rPr>
              <w:t>Mz-1785MHz</w:t>
            </w:r>
          </w:p>
        </w:tc>
        <w:tc>
          <w:tcPr>
            <w:tcW w:w="1701" w:type="dxa"/>
            <w:shd w:val="clear" w:color="auto" w:fill="FFFFFF" w:themeFill="background1"/>
            <w:vAlign w:val="top"/>
          </w:tcPr>
          <w:p>
            <w:pPr>
              <w:pStyle w:val="13"/>
              <w:spacing w:before="0"/>
              <w:ind w:left="0" w:leftChars="0"/>
              <w:rPr>
                <w:rFonts w:hint="eastAsia" w:asciiTheme="minorHAnsi" w:hAnsiTheme="minorHAnsi" w:eastAsiaTheme="minorEastAsia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850 MHz FDD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869MHz-894MHz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829MHz-849MHz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900 MHz FDD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925MHz-960MHz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880MHz-915MHz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700 MHz FDD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28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758MHz-803MHz</w:t>
            </w:r>
          </w:p>
        </w:tc>
        <w:tc>
          <w:tcPr>
            <w:tcW w:w="2268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703MHz-748MHz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20</w:t>
            </w:r>
          </w:p>
        </w:tc>
      </w:tr>
    </w:tbl>
    <w:p>
      <w:pPr>
        <w:pStyle w:val="4"/>
        <w:spacing w:before="56"/>
        <w:rPr>
          <w:sz w:val="24"/>
          <w:szCs w:val="24"/>
        </w:rPr>
      </w:pPr>
    </w:p>
    <w:tbl>
      <w:tblPr>
        <w:tblStyle w:val="7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7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7" w:type="dxa"/>
            <w:gridSpan w:val="2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Antenna Interface (All bands)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rPr>
                <w:rFonts w:hint="eastAsia" w:eastAsiaTheme="minorEastAsia"/>
                <w:lang w:eastAsia="zh-CN"/>
              </w:rPr>
              <w:t>N</w:t>
            </w:r>
            <w:r>
              <w:t xml:space="preserve">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Connector Type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SFP+, Standard 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Transmission Rate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9.8304GB/s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Fiber Length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 xml:space="preserve">1.4 km/ 10 km/ 30 km </w:t>
            </w:r>
          </w:p>
          <w:p>
            <w:pPr>
              <w:pStyle w:val="13"/>
              <w:spacing w:before="0"/>
              <w:ind w:left="0"/>
            </w:pPr>
            <w:r>
              <w:t>0.87mi / 6.21mi / 18.64mi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Physical Alarms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rFonts w:eastAsiaTheme="minorEastAsia"/>
                <w:lang w:eastAsia="zh-CN"/>
              </w:rPr>
            </w:pPr>
            <w:r>
              <w:t>DB9,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Maintenance Interface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Ethernet RJ45</w:t>
            </w:r>
          </w:p>
        </w:tc>
      </w:tr>
    </w:tbl>
    <w:p/>
    <w:tbl>
      <w:tblPr>
        <w:tblStyle w:val="7"/>
        <w:tblpPr w:leftFromText="180" w:rightFromText="180" w:vertAnchor="text" w:horzAnchor="margin" w:tblpY="63"/>
        <w:tblW w:w="107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723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9" w:type="dxa"/>
            <w:gridSpan w:val="2"/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ELECTRICAL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3GPP TS36.106 | 3GPP TS25.106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EN 301489-1 / -50, EN 50121-4, EN 55032, EN 61000-4 </w:t>
            </w:r>
            <w:r>
              <w:t>series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EN 60950-1, EN 60950-22, EN 62368-1, EN 50385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Maximum Power </w:t>
            </w:r>
            <w:r>
              <w:rPr>
                <w:b/>
                <w:bCs/>
              </w:rPr>
              <w:t>Consumption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rPr>
                <w:rFonts w:hint="eastAsia" w:eastAsiaTheme="minorEastAsia"/>
                <w:lang w:eastAsia="zh-CN"/>
              </w:rPr>
              <w:t>350</w:t>
            </w:r>
            <w:r>
              <w:t>W</w:t>
            </w:r>
          </w:p>
        </w:tc>
      </w:tr>
    </w:tbl>
    <w:p/>
    <w:tbl>
      <w:tblPr>
        <w:tblStyle w:val="7"/>
        <w:tblpPr w:leftFromText="180" w:rightFromText="180" w:vertAnchor="text" w:horzAnchor="margin" w:tblpY="63"/>
        <w:tblW w:w="107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722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9" w:type="dxa"/>
            <w:gridSpan w:val="2"/>
            <w:shd w:val="clear" w:color="auto" w:fill="C00000"/>
            <w:vAlign w:val="center"/>
          </w:tcPr>
          <w:p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Time Between Failure (MTBF)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&gt; 100,000 hours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-40 °C ~ +55 °C | -40 °F ~ +131 °F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Storage Temperature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-40 °C ~ +70 °C | -40 °F ~ +158 °F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 xml:space="preserve">5% ~ </w:t>
            </w:r>
            <w:r>
              <w:rPr>
                <w:rFonts w:hint="eastAsia" w:eastAsiaTheme="minorEastAsia"/>
                <w:lang w:eastAsia="zh-CN"/>
              </w:rPr>
              <w:t>95</w:t>
            </w:r>
            <w:r>
              <w:t>% (Non-Condensing)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Cooling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Passive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Wall or Pole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Ingress Protection Rating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IP65 (Outdoor)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t>EN 300019-1-1, EN 300019-1-2, EN 300019-1-4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Power Supply</w:t>
            </w:r>
            <w:r>
              <w:rPr>
                <w:b/>
                <w:bCs/>
              </w:rPr>
              <w:tab/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</w:pPr>
            <w:r>
              <w:rPr>
                <w:rFonts w:hint="eastAsia" w:eastAsiaTheme="minorEastAsia"/>
                <w:lang w:eastAsia="zh-CN"/>
              </w:rPr>
              <w:t>176</w:t>
            </w:r>
            <w:r>
              <w:t>-2</w:t>
            </w:r>
            <w:r>
              <w:rPr>
                <w:rFonts w:hint="eastAsia" w:eastAsiaTheme="minorEastAsia"/>
                <w:lang w:eastAsia="zh-CN"/>
              </w:rPr>
              <w:t>64</w:t>
            </w:r>
            <w:r>
              <w:t xml:space="preserve">V AC, </w:t>
            </w:r>
            <w:r>
              <w:rPr>
                <w:rFonts w:hint="eastAsia" w:eastAsiaTheme="minorEastAsia"/>
                <w:lang w:eastAsia="zh-CN"/>
              </w:rPr>
              <w:t>45-</w:t>
            </w:r>
            <w:r>
              <w:t>6</w:t>
            </w:r>
            <w:r>
              <w:rPr>
                <w:rFonts w:hint="eastAsia" w:eastAsiaTheme="minorEastAsia"/>
                <w:lang w:eastAsia="zh-CN"/>
              </w:rPr>
              <w:t>5</w:t>
            </w:r>
            <w:r>
              <w:t xml:space="preserve"> Hz | 48VDC ± 20%</w:t>
            </w:r>
          </w:p>
        </w:tc>
      </w:tr>
    </w:tbl>
    <w:p>
      <w:pPr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14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219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4" w:type="dxa"/>
            <w:gridSpan w:val="2"/>
            <w:shd w:val="clear" w:color="auto" w:fill="C00000"/>
            <w:vAlign w:val="center"/>
          </w:tcPr>
          <w:p>
            <w:pPr>
              <w:ind w:left="-19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MECHANICAL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Size (Width x Height x Depth)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Calibri"/>
                <w:color w:val="auto"/>
                <w:sz w:val="22"/>
                <w:szCs w:val="22"/>
                <w:lang w:eastAsia="zh-CN"/>
              </w:rPr>
            </w:pPr>
            <w:r>
              <w:rPr>
                <w:szCs w:val="18"/>
              </w:rPr>
              <w:t>420*450*164.5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</w:rPr>
              <w:t>mm</w:t>
            </w:r>
            <w:r>
              <w:rPr>
                <w:rFonts w:hint="eastAsia"/>
                <w:szCs w:val="18"/>
                <w:lang w:eastAsia="zh-CN"/>
              </w:rPr>
              <w:t xml:space="preserve"> | 16.53*17.71*6.48 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≤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22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.0 kg | 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48</w:t>
            </w:r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50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lbs</w:t>
            </w:r>
          </w:p>
        </w:tc>
      </w:tr>
    </w:tbl>
    <w:p>
      <w:pPr>
        <w:pStyle w:val="4"/>
        <w:jc w:val="right"/>
      </w:pPr>
    </w:p>
    <w:p>
      <w:pPr>
        <w:pStyle w:val="12"/>
        <w:spacing w:before="63"/>
        <w:ind w:left="1225" w:right="697" w:rightChars="317"/>
        <w:jc w:val="right"/>
        <w:rPr>
          <w:rFonts w:eastAsia="Calibri Light" w:asciiTheme="minorHAnsi" w:hAnsiTheme="minorHAnsi" w:cstheme="minorHAnsi"/>
          <w:lang w:bidi="en-US"/>
        </w:rPr>
      </w:pPr>
    </w:p>
    <w:p>
      <w:pPr>
        <w:ind w:left="840" w:right="283"/>
        <w:jc w:val="right"/>
      </w:pPr>
      <w:r>
        <w:t>Contact Us</w:t>
      </w:r>
    </w:p>
    <w:p>
      <w:pPr>
        <w:ind w:left="840" w:right="283"/>
        <w:jc w:val="right"/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</w:rPr>
        <w:t>www.btiwireless.com</w:t>
      </w:r>
      <w:r>
        <w:rPr>
          <w:rStyle w:val="10"/>
        </w:rPr>
        <w:fldChar w:fldCharType="end"/>
      </w:r>
    </w:p>
    <w:p>
      <w:pPr>
        <w:ind w:left="840" w:right="283"/>
        <w:jc w:val="right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</w:rPr>
        <w:t>sales@btiwireless.com</w:t>
      </w:r>
      <w:r>
        <w:rPr>
          <w:rStyle w:val="10"/>
        </w:rPr>
        <w:fldChar w:fldCharType="end"/>
      </w:r>
    </w:p>
    <w:p>
      <w:pPr>
        <w:pStyle w:val="4"/>
        <w:jc w:val="right"/>
      </w:pPr>
    </w:p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56"/>
      <w:jc w:val="center"/>
      <w:rPr>
        <w:sz w:val="20"/>
        <w:szCs w:val="20"/>
      </w:rPr>
    </w:pPr>
    <w:r>
      <w:rPr>
        <w:sz w:val="20"/>
        <w:szCs w:val="20"/>
      </w:rPr>
      <w:t>Copyright © 202</w:t>
    </w:r>
    <w:r>
      <w:rPr>
        <w:rFonts w:hint="eastAsia" w:eastAsia="宋体"/>
        <w:sz w:val="20"/>
        <w:szCs w:val="20"/>
        <w:lang w:val="en-US" w:eastAsia="zh-CN"/>
      </w:rPr>
      <w:t>4</w:t>
    </w:r>
    <w:r>
      <w:rPr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>BTI WIRELESS</w:t>
    </w:r>
    <w:r>
      <w:rPr>
        <w:sz w:val="20"/>
        <w:szCs w:val="20"/>
        <w:lang w:eastAsia="zh-CN"/>
      </w:rPr>
      <w:t xml:space="preserve"> </w:t>
    </w:r>
    <w:r>
      <w:rPr>
        <w:sz w:val="20"/>
        <w:szCs w:val="20"/>
      </w:rPr>
      <w:t>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after="120"/>
      <w:ind w:right="115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274320</wp:posOffset>
          </wp:positionH>
          <wp:positionV relativeFrom="page">
            <wp:posOffset>152400</wp:posOffset>
          </wp:positionV>
          <wp:extent cx="1236980" cy="493395"/>
          <wp:effectExtent l="0" t="0" r="12700" b="9525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698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-902335</wp:posOffset>
          </wp:positionH>
          <wp:positionV relativeFrom="page">
            <wp:posOffset>-28575</wp:posOffset>
          </wp:positionV>
          <wp:extent cx="8674100" cy="10086340"/>
          <wp:effectExtent l="0" t="0" r="12700" b="254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4100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36"/>
        <w:szCs w:val="36"/>
      </w:rPr>
      <w:t>LTE Distributed Base Station</w:t>
    </w:r>
  </w:p>
  <w:p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writeProtection w:cryptProviderType="rsaFull" w:cryptAlgorithmClass="hash" w:cryptAlgorithmType="typeAny" w:cryptAlgorithmSid="4" w:cryptSpinCount="100000" w:hash="rLok0gTGRx58YGAoRAvRGDap3+A=" w:salt="iJ/otDt/wJNBom+Tbi0DaQ==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D4284C"/>
    <w:rsid w:val="00012B79"/>
    <w:rsid w:val="00030694"/>
    <w:rsid w:val="0004545E"/>
    <w:rsid w:val="00071F9E"/>
    <w:rsid w:val="000806B3"/>
    <w:rsid w:val="0009301E"/>
    <w:rsid w:val="00095FA3"/>
    <w:rsid w:val="000A7611"/>
    <w:rsid w:val="000D561A"/>
    <w:rsid w:val="00103243"/>
    <w:rsid w:val="0012034A"/>
    <w:rsid w:val="00122C2F"/>
    <w:rsid w:val="001230CA"/>
    <w:rsid w:val="001265B0"/>
    <w:rsid w:val="00133073"/>
    <w:rsid w:val="00134EB8"/>
    <w:rsid w:val="00186636"/>
    <w:rsid w:val="00186DFF"/>
    <w:rsid w:val="00192A27"/>
    <w:rsid w:val="001A0928"/>
    <w:rsid w:val="001B6E1D"/>
    <w:rsid w:val="001B7C3F"/>
    <w:rsid w:val="001D2479"/>
    <w:rsid w:val="001D61BA"/>
    <w:rsid w:val="00211DF7"/>
    <w:rsid w:val="00214697"/>
    <w:rsid w:val="002243B0"/>
    <w:rsid w:val="00237789"/>
    <w:rsid w:val="002527DF"/>
    <w:rsid w:val="00265283"/>
    <w:rsid w:val="00273ACA"/>
    <w:rsid w:val="00274701"/>
    <w:rsid w:val="00287D39"/>
    <w:rsid w:val="002A1C61"/>
    <w:rsid w:val="002A3A04"/>
    <w:rsid w:val="002A6DEF"/>
    <w:rsid w:val="002B051C"/>
    <w:rsid w:val="002B163F"/>
    <w:rsid w:val="002B4077"/>
    <w:rsid w:val="002D113E"/>
    <w:rsid w:val="002D7705"/>
    <w:rsid w:val="002E2B3B"/>
    <w:rsid w:val="002E74B4"/>
    <w:rsid w:val="002F48A1"/>
    <w:rsid w:val="002F7DFC"/>
    <w:rsid w:val="00300967"/>
    <w:rsid w:val="0030708E"/>
    <w:rsid w:val="0031245C"/>
    <w:rsid w:val="00314852"/>
    <w:rsid w:val="00314C90"/>
    <w:rsid w:val="0031721B"/>
    <w:rsid w:val="003227B9"/>
    <w:rsid w:val="00330011"/>
    <w:rsid w:val="00351597"/>
    <w:rsid w:val="00355227"/>
    <w:rsid w:val="00356212"/>
    <w:rsid w:val="00360323"/>
    <w:rsid w:val="00370E1E"/>
    <w:rsid w:val="00384A70"/>
    <w:rsid w:val="003962B1"/>
    <w:rsid w:val="003A5536"/>
    <w:rsid w:val="003A76C1"/>
    <w:rsid w:val="003B4F78"/>
    <w:rsid w:val="003D0CFA"/>
    <w:rsid w:val="003E5EF1"/>
    <w:rsid w:val="003E79CA"/>
    <w:rsid w:val="003F0E9A"/>
    <w:rsid w:val="00406D2B"/>
    <w:rsid w:val="00407DF7"/>
    <w:rsid w:val="00411DAE"/>
    <w:rsid w:val="00437966"/>
    <w:rsid w:val="0046756C"/>
    <w:rsid w:val="00491761"/>
    <w:rsid w:val="004932E0"/>
    <w:rsid w:val="00496A4C"/>
    <w:rsid w:val="004A4BF3"/>
    <w:rsid w:val="004C42A7"/>
    <w:rsid w:val="004F0A62"/>
    <w:rsid w:val="004F33AD"/>
    <w:rsid w:val="004F57C9"/>
    <w:rsid w:val="005024C3"/>
    <w:rsid w:val="00506D75"/>
    <w:rsid w:val="00506E13"/>
    <w:rsid w:val="00534672"/>
    <w:rsid w:val="00546FBD"/>
    <w:rsid w:val="00550991"/>
    <w:rsid w:val="00552F85"/>
    <w:rsid w:val="00554C6C"/>
    <w:rsid w:val="00555AF8"/>
    <w:rsid w:val="00556B40"/>
    <w:rsid w:val="005644D0"/>
    <w:rsid w:val="00566ED8"/>
    <w:rsid w:val="0057179A"/>
    <w:rsid w:val="0057362F"/>
    <w:rsid w:val="005838EB"/>
    <w:rsid w:val="00590EAC"/>
    <w:rsid w:val="005B24C3"/>
    <w:rsid w:val="005C1AAD"/>
    <w:rsid w:val="005C3EB1"/>
    <w:rsid w:val="005C6914"/>
    <w:rsid w:val="005D709F"/>
    <w:rsid w:val="005E4F68"/>
    <w:rsid w:val="005F61B9"/>
    <w:rsid w:val="005F774B"/>
    <w:rsid w:val="005F7D3C"/>
    <w:rsid w:val="006009E7"/>
    <w:rsid w:val="00612FE2"/>
    <w:rsid w:val="00631706"/>
    <w:rsid w:val="00632364"/>
    <w:rsid w:val="00646B7F"/>
    <w:rsid w:val="00651DD5"/>
    <w:rsid w:val="006572E6"/>
    <w:rsid w:val="00665866"/>
    <w:rsid w:val="00683139"/>
    <w:rsid w:val="006844EE"/>
    <w:rsid w:val="00690E39"/>
    <w:rsid w:val="00691989"/>
    <w:rsid w:val="006E59C0"/>
    <w:rsid w:val="007104CE"/>
    <w:rsid w:val="007169EF"/>
    <w:rsid w:val="0072290E"/>
    <w:rsid w:val="00726359"/>
    <w:rsid w:val="00767F80"/>
    <w:rsid w:val="007711AF"/>
    <w:rsid w:val="00771FE6"/>
    <w:rsid w:val="0077488F"/>
    <w:rsid w:val="007D2E5A"/>
    <w:rsid w:val="007F04CD"/>
    <w:rsid w:val="007F0545"/>
    <w:rsid w:val="0083223F"/>
    <w:rsid w:val="00832DDE"/>
    <w:rsid w:val="00832FF5"/>
    <w:rsid w:val="00835D81"/>
    <w:rsid w:val="00847C0B"/>
    <w:rsid w:val="00855EF2"/>
    <w:rsid w:val="0086020F"/>
    <w:rsid w:val="00877FBE"/>
    <w:rsid w:val="00893DE9"/>
    <w:rsid w:val="008A07A0"/>
    <w:rsid w:val="008B30AB"/>
    <w:rsid w:val="008C4E97"/>
    <w:rsid w:val="008F0A01"/>
    <w:rsid w:val="008F1191"/>
    <w:rsid w:val="008F3A5E"/>
    <w:rsid w:val="008F7C68"/>
    <w:rsid w:val="009124B7"/>
    <w:rsid w:val="00934156"/>
    <w:rsid w:val="00962D84"/>
    <w:rsid w:val="0097520A"/>
    <w:rsid w:val="009A30F8"/>
    <w:rsid w:val="009B09B8"/>
    <w:rsid w:val="009B138B"/>
    <w:rsid w:val="009C6870"/>
    <w:rsid w:val="009E1887"/>
    <w:rsid w:val="009F0F75"/>
    <w:rsid w:val="009F2142"/>
    <w:rsid w:val="009F2D44"/>
    <w:rsid w:val="00A04F08"/>
    <w:rsid w:val="00A15287"/>
    <w:rsid w:val="00A16234"/>
    <w:rsid w:val="00A2073A"/>
    <w:rsid w:val="00A27A5F"/>
    <w:rsid w:val="00A723B7"/>
    <w:rsid w:val="00A862BC"/>
    <w:rsid w:val="00A8646B"/>
    <w:rsid w:val="00A92E0A"/>
    <w:rsid w:val="00AA07DB"/>
    <w:rsid w:val="00AB26CB"/>
    <w:rsid w:val="00AB4DDD"/>
    <w:rsid w:val="00AD1F47"/>
    <w:rsid w:val="00B1101B"/>
    <w:rsid w:val="00B43749"/>
    <w:rsid w:val="00B465D8"/>
    <w:rsid w:val="00B51C78"/>
    <w:rsid w:val="00B61350"/>
    <w:rsid w:val="00B76C00"/>
    <w:rsid w:val="00BA1642"/>
    <w:rsid w:val="00BC0A24"/>
    <w:rsid w:val="00BE6047"/>
    <w:rsid w:val="00BF0572"/>
    <w:rsid w:val="00C369B2"/>
    <w:rsid w:val="00C5018E"/>
    <w:rsid w:val="00C504BF"/>
    <w:rsid w:val="00C659AC"/>
    <w:rsid w:val="00C75BA3"/>
    <w:rsid w:val="00C7704B"/>
    <w:rsid w:val="00C934B8"/>
    <w:rsid w:val="00C964B5"/>
    <w:rsid w:val="00CA4538"/>
    <w:rsid w:val="00CC3F90"/>
    <w:rsid w:val="00CC5D70"/>
    <w:rsid w:val="00CF655D"/>
    <w:rsid w:val="00D07C69"/>
    <w:rsid w:val="00D11DD7"/>
    <w:rsid w:val="00D12194"/>
    <w:rsid w:val="00D14BF5"/>
    <w:rsid w:val="00D17059"/>
    <w:rsid w:val="00D35747"/>
    <w:rsid w:val="00D35D9D"/>
    <w:rsid w:val="00D37C8A"/>
    <w:rsid w:val="00D4284C"/>
    <w:rsid w:val="00D53EAC"/>
    <w:rsid w:val="00D60430"/>
    <w:rsid w:val="00D6722F"/>
    <w:rsid w:val="00D677E8"/>
    <w:rsid w:val="00D75705"/>
    <w:rsid w:val="00D83D78"/>
    <w:rsid w:val="00DB4397"/>
    <w:rsid w:val="00DC5D11"/>
    <w:rsid w:val="00DC5E8D"/>
    <w:rsid w:val="00DD391D"/>
    <w:rsid w:val="00DE0583"/>
    <w:rsid w:val="00DE0834"/>
    <w:rsid w:val="00DF1E5F"/>
    <w:rsid w:val="00E20971"/>
    <w:rsid w:val="00E20F2A"/>
    <w:rsid w:val="00E270C3"/>
    <w:rsid w:val="00E272DC"/>
    <w:rsid w:val="00E322A4"/>
    <w:rsid w:val="00E42EEA"/>
    <w:rsid w:val="00E57215"/>
    <w:rsid w:val="00E57391"/>
    <w:rsid w:val="00E61BC0"/>
    <w:rsid w:val="00E71686"/>
    <w:rsid w:val="00E7613F"/>
    <w:rsid w:val="00E812FE"/>
    <w:rsid w:val="00E95326"/>
    <w:rsid w:val="00EA0E45"/>
    <w:rsid w:val="00EC1C10"/>
    <w:rsid w:val="00ED3316"/>
    <w:rsid w:val="00ED67E0"/>
    <w:rsid w:val="00EE3327"/>
    <w:rsid w:val="00EE3BAC"/>
    <w:rsid w:val="00EF7991"/>
    <w:rsid w:val="00F0065D"/>
    <w:rsid w:val="00F106C9"/>
    <w:rsid w:val="00F128D6"/>
    <w:rsid w:val="00F17791"/>
    <w:rsid w:val="00F21052"/>
    <w:rsid w:val="00F2511D"/>
    <w:rsid w:val="00F5108B"/>
    <w:rsid w:val="00F552C4"/>
    <w:rsid w:val="00F63E14"/>
    <w:rsid w:val="00F938BC"/>
    <w:rsid w:val="00FA212F"/>
    <w:rsid w:val="00FA4834"/>
    <w:rsid w:val="00FA4E17"/>
    <w:rsid w:val="00FA784D"/>
    <w:rsid w:val="00FB416E"/>
    <w:rsid w:val="00FC3D47"/>
    <w:rsid w:val="00FD0112"/>
    <w:rsid w:val="00FF184D"/>
    <w:rsid w:val="00FF5D68"/>
    <w:rsid w:val="02A751AD"/>
    <w:rsid w:val="0D177F15"/>
    <w:rsid w:val="0D5F3C78"/>
    <w:rsid w:val="18892DF6"/>
    <w:rsid w:val="18F54197"/>
    <w:rsid w:val="1CB14BC5"/>
    <w:rsid w:val="201E5738"/>
    <w:rsid w:val="2277762E"/>
    <w:rsid w:val="2E204398"/>
    <w:rsid w:val="3A741D44"/>
    <w:rsid w:val="3FA249B5"/>
    <w:rsid w:val="499A759D"/>
    <w:rsid w:val="5B3B4E3F"/>
    <w:rsid w:val="6279041A"/>
    <w:rsid w:val="67DC58AD"/>
    <w:rsid w:val="6FC77A65"/>
    <w:rsid w:val="71EF3BA5"/>
    <w:rsid w:val="759E1117"/>
    <w:rsid w:val="799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159"/>
      <w:ind w:left="1681"/>
      <w:outlineLvl w:val="1"/>
    </w:pPr>
    <w:rPr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1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  <w:pPr>
      <w:spacing w:before="78"/>
      <w:ind w:left="211"/>
    </w:pPr>
  </w:style>
  <w:style w:type="character" w:customStyle="1" w:styleId="14">
    <w:name w:val="Header Char"/>
    <w:basedOn w:val="9"/>
    <w:link w:val="6"/>
    <w:autoRedefine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5">
    <w:name w:val="Footer Char"/>
    <w:basedOn w:val="9"/>
    <w:link w:val="5"/>
    <w:autoRedefine/>
    <w:qFormat/>
    <w:uiPriority w:val="99"/>
    <w:rPr>
      <w:rFonts w:ascii="Calibri" w:hAnsi="Calibri" w:eastAsia="Calibri" w:cs="Calibri"/>
      <w:sz w:val="18"/>
      <w:szCs w:val="18"/>
    </w:rPr>
  </w:style>
  <w:style w:type="paragraph" w:customStyle="1" w:styleId="16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table" w:customStyle="1" w:styleId="17">
    <w:name w:val="网格表 2 - 着色 11"/>
    <w:basedOn w:val="7"/>
    <w:autoRedefine/>
    <w:qFormat/>
    <w:uiPriority w:val="47"/>
    <w:pPr>
      <w:widowControl/>
      <w:autoSpaceDE/>
      <w:autoSpaceDN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477C-FC1B-4B9F-9FE6-2BF49629A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SUNWAVE</Company>
  <Pages>16</Pages>
  <Words>1822</Words>
  <Characters>9490</Characters>
  <Lines>601</Lines>
  <Paragraphs>509</Paragraphs>
  <TotalTime>0</TotalTime>
  <ScaleCrop>false</ScaleCrop>
  <LinksUpToDate>false</LinksUpToDate>
  <CharactersWithSpaces>10869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2021-04-29T10:03:00Z</dcterms:created>
  <dc:creator>SUNWAVE</dc:creator>
  <cp:lastModifiedBy>☆Stacey</cp:lastModifiedBy>
  <cp:lastPrinted>2020-08-21T12:03:00Z</cp:lastPrinted>
  <dcterms:modified xsi:type="dcterms:W3CDTF">2024-04-03T03:02:16Z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2020-07-01T10:00:00Z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2158296E225F4DFA9B6AF63620F478BE_13</vt:lpwstr>
  </property>
</Properties>
</file>